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sz w:val="22"/>
          <w:szCs w:val="22"/>
        </w:rPr>
        <w:t>ело № 5-</w:t>
      </w:r>
      <w:r>
        <w:rPr>
          <w:rFonts w:ascii="Times New Roman" w:eastAsia="Times New Roman" w:hAnsi="Times New Roman" w:cs="Times New Roman"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03 февраля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628309, ХМАО-Югра, г. Нефтеюганск, 1 мкр-н, дом 30</w:t>
      </w:r>
      <w:r>
        <w:rPr>
          <w:rFonts w:ascii="Times New Roman" w:eastAsia="Times New Roman" w:hAnsi="Times New Roman" w:cs="Times New Roman"/>
          <w:sz w:val="26"/>
          <w:szCs w:val="26"/>
        </w:rPr>
        <w:t>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Вышковской Натальи Игоревны, </w:t>
      </w:r>
      <w:r>
        <w:rPr>
          <w:rStyle w:val="cat-ExternalSystemDefinedgrp-41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34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работающей директором ООО «Речтранссервис», проживающей по адресу: </w:t>
      </w:r>
      <w:r>
        <w:rPr>
          <w:rStyle w:val="cat-UserDefinedgrp-44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35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42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43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Вышковская Н.И., являясь директором ООО «Речтранссервис», зарегистрированного по адресу: г. Нефтеюганск, НП Промышленная зона Пионерная, ул. Набережная, стр. 11/1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п. 7 ст. 431 НК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РФ, до </w:t>
      </w:r>
      <w:r>
        <w:rPr>
          <w:rFonts w:ascii="Times New Roman" w:eastAsia="Times New Roman" w:hAnsi="Times New Roman" w:cs="Times New Roman"/>
          <w:sz w:val="26"/>
          <w:szCs w:val="26"/>
        </w:rPr>
        <w:t>26.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в налоговый орган по месту учета – межрайонную ИФНС России №7 по Ханты-Мансийскому автономному округу – Югре,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налоговый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6 месяцев</w:t>
      </w:r>
      <w:r>
        <w:rPr>
          <w:rFonts w:ascii="Times New Roman" w:eastAsia="Times New Roman" w:hAnsi="Times New Roman" w:cs="Times New Roman"/>
          <w:sz w:val="26"/>
          <w:szCs w:val="26"/>
        </w:rPr>
        <w:t>, квартальный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Срок представления налогового расчета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</w:t>
      </w:r>
      <w:r>
        <w:rPr>
          <w:rFonts w:ascii="Times New Roman" w:eastAsia="Times New Roman" w:hAnsi="Times New Roman" w:cs="Times New Roman"/>
          <w:sz w:val="26"/>
          <w:szCs w:val="26"/>
        </w:rPr>
        <w:t>ев</w:t>
      </w:r>
      <w:r>
        <w:rPr>
          <w:rFonts w:ascii="Times New Roman" w:eastAsia="Times New Roman" w:hAnsi="Times New Roman" w:cs="Times New Roman"/>
          <w:sz w:val="26"/>
          <w:szCs w:val="26"/>
        </w:rPr>
        <w:t>, квартальный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не позднее 24:00 часов </w:t>
      </w:r>
      <w:r>
        <w:rPr>
          <w:rFonts w:ascii="Times New Roman" w:eastAsia="Times New Roman" w:hAnsi="Times New Roman" w:cs="Times New Roman"/>
          <w:sz w:val="26"/>
          <w:szCs w:val="26"/>
        </w:rPr>
        <w:t>25.0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фактически налоговый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6 месяцев</w:t>
      </w:r>
      <w:r>
        <w:rPr>
          <w:rFonts w:ascii="Times New Roman" w:eastAsia="Times New Roman" w:hAnsi="Times New Roman" w:cs="Times New Roman"/>
          <w:sz w:val="26"/>
          <w:szCs w:val="26"/>
        </w:rPr>
        <w:t>, квартальный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31.08.2024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Вышковская Н.И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извещенная надлежащим образом о времени и месте рассмотрения административного материала, не явилась, о причинах неявки суд не уведомила, ходатайств об отложении дела от нее не поступало.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Вышковск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Н.И</w:t>
      </w:r>
      <w:r>
        <w:rPr>
          <w:rFonts w:ascii="Times New Roman" w:eastAsia="Times New Roman" w:hAnsi="Times New Roman" w:cs="Times New Roman"/>
          <w:sz w:val="26"/>
          <w:szCs w:val="26"/>
        </w:rPr>
        <w:t>. в ее отсутствие.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Вышковской Н.И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5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10.12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Вышковская Н.И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налоговый орган по месту учета – межрайонную ИФНС </w:t>
      </w:r>
      <w:r>
        <w:rPr>
          <w:rFonts w:ascii="Times New Roman" w:eastAsia="Times New Roman" w:hAnsi="Times New Roman" w:cs="Times New Roman"/>
          <w:sz w:val="26"/>
          <w:szCs w:val="26"/>
        </w:rPr>
        <w:t>России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 по Ханты-Мансийскому автономному округу – Югре, налоговый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6 месяцев</w:t>
      </w:r>
      <w:r>
        <w:rPr>
          <w:rFonts w:ascii="Times New Roman" w:eastAsia="Times New Roman" w:hAnsi="Times New Roman" w:cs="Times New Roman"/>
          <w:sz w:val="26"/>
          <w:szCs w:val="26"/>
        </w:rPr>
        <w:t>, квартальный 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списком внутренних почтовых отправлений о направлении копии протокола об административном правонарушении;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уведомлением о времени и месте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12.11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списком внутренних почтовых отправлений о направлении уведомления о времени и месте составления протокола;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квитанцией о приеме налоговой декларации (расчета), бухгалтерской (финансовой) отчетности в электронной форме от </w:t>
      </w:r>
      <w:r>
        <w:rPr>
          <w:rFonts w:ascii="Times New Roman" w:eastAsia="Times New Roman" w:hAnsi="Times New Roman" w:cs="Times New Roman"/>
          <w:sz w:val="26"/>
          <w:szCs w:val="26"/>
        </w:rPr>
        <w:t>31.08</w:t>
      </w:r>
      <w:r>
        <w:rPr>
          <w:rFonts w:ascii="Times New Roman" w:eastAsia="Times New Roman" w:hAnsi="Times New Roman" w:cs="Times New Roman"/>
          <w:sz w:val="26"/>
          <w:szCs w:val="26"/>
        </w:rPr>
        <w:t>.2024;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выпиской из Единого государст</w:t>
      </w:r>
      <w:r>
        <w:rPr>
          <w:rFonts w:ascii="Times New Roman" w:eastAsia="Times New Roman" w:hAnsi="Times New Roman" w:cs="Times New Roman"/>
          <w:sz w:val="26"/>
          <w:szCs w:val="26"/>
        </w:rPr>
        <w:t>венного реестра юридических лиц.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подп. 4 п. 3 ст. 24 Налогового кодекса РФ, 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подп. 3 п. 3.4 ст.23 Налогового кодекса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плательщики страховых взносов обязаны представлять в установленном порядке в налоговый орган по месту учета расчеты по страховым взносам.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1 ст. 419 Налогового 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7 ст. 431 Налогового кодекса РФ плательщики, указанные в п.п. 1 п. 1 ст. 419 настоящего Кодекса (за исключением физических лиц, производящих выплаты, указанные в п.п. 3 п. 3 ст. 422НК РФ), представляют расчет по страховым взносам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Пунктом 7 статьи 3 Федерального закона от 06.12.2011 г. № 402-ФЗ «О бухгалтерском учете», определено, что руководитель экономического субъекта -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ч. 1 ст. 7 Федерального закона от 06.12.2011 года № 402-ФЗ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Вышковской Н.И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ст. 15.5 Кодекса Российской Федерации об административных правонарушениях, как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Вышковской Н.И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 в соответствии со ст.ст. 4.2, 4.3 Кодекса Российской Федерации об административных правонарушениях, мировой судья не находит.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установленные обстоятельства, мировой судья считает возможным назначить правонарушителю наказание в виде предупреждения.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 учётом изложенного, руководствуясь ст.ст. 29.9 ч.1, 29.10, 30.1 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директора ООО «Речтранссервис» Вышковск</w:t>
      </w:r>
      <w:r>
        <w:rPr>
          <w:rFonts w:ascii="Times New Roman" w:eastAsia="Times New Roman" w:hAnsi="Times New Roman" w:cs="Times New Roman"/>
          <w:sz w:val="26"/>
          <w:szCs w:val="26"/>
        </w:rPr>
        <w:t>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Наталь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Игоревн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виновной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ей административное наказание в виде 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tabs>
          <w:tab w:val="left" w:pos="6390"/>
        </w:tabs>
        <w:spacing w:before="0" w:after="0"/>
        <w:ind w:left="283" w:hanging="28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left="283" w:hanging="28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tbl>
      <w:tblPr>
        <w:tblW w:w="20813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7"/>
        <w:gridCol w:w="5547"/>
        <w:gridCol w:w="4820"/>
        <w:gridCol w:w="5649"/>
      </w:tblGrid>
      <w:tr>
        <w:tblPrEx>
          <w:tblW w:w="20813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9"/>
        </w:trPr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56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1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63" w:hanging="263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  <w:tc>
          <w:tcPr>
            <w:tcW w:w="567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spacing w:before="0" w:after="0"/>
        <w:ind w:left="567" w:hanging="283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1rplc-6">
    <w:name w:val="cat-ExternalSystemDefined grp-41 rplc-6"/>
    <w:basedOn w:val="DefaultParagraphFont"/>
  </w:style>
  <w:style w:type="character" w:customStyle="1" w:styleId="cat-PassportDatagrp-34rplc-7">
    <w:name w:val="cat-PassportData grp-34 rplc-7"/>
    <w:basedOn w:val="DefaultParagraphFont"/>
  </w:style>
  <w:style w:type="character" w:customStyle="1" w:styleId="cat-UserDefinedgrp-44rplc-9">
    <w:name w:val="cat-UserDefined grp-44 rplc-9"/>
    <w:basedOn w:val="DefaultParagraphFont"/>
  </w:style>
  <w:style w:type="character" w:customStyle="1" w:styleId="cat-PassportDatagrp-35rplc-11">
    <w:name w:val="cat-PassportData grp-35 rplc-11"/>
    <w:basedOn w:val="DefaultParagraphFont"/>
  </w:style>
  <w:style w:type="character" w:customStyle="1" w:styleId="cat-ExternalSystemDefinedgrp-42rplc-12">
    <w:name w:val="cat-ExternalSystemDefined grp-42 rplc-12"/>
    <w:basedOn w:val="DefaultParagraphFont"/>
  </w:style>
  <w:style w:type="character" w:customStyle="1" w:styleId="cat-ExternalSystemDefinedgrp-43rplc-13">
    <w:name w:val="cat-ExternalSystemDefined grp-43 rplc-13"/>
    <w:basedOn w:val="DefaultParagraphFont"/>
  </w:style>
  <w:style w:type="character" w:customStyle="1" w:styleId="cat-UserDefinedgrp-45rplc-27">
    <w:name w:val="cat-UserDefined grp-45 rplc-27"/>
    <w:basedOn w:val="DefaultParagraphFont"/>
  </w:style>
  <w:style w:type="character" w:customStyle="1" w:styleId="cat-UserDefinedgrp-46rplc-42">
    <w:name w:val="cat-UserDefined grp-46 rplc-42"/>
    <w:basedOn w:val="DefaultParagraphFont"/>
  </w:style>
  <w:style w:type="character" w:customStyle="1" w:styleId="cat-UserDefinedgrp-47rplc-45">
    <w:name w:val="cat-UserDefined grp-47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